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35" w:rsidRPr="008E7835" w:rsidRDefault="008E7835" w:rsidP="008E783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it-IT" w:bidi="it-IT"/>
        </w:rPr>
      </w:pPr>
    </w:p>
    <w:p w:rsidR="008E7835" w:rsidRPr="008E7835" w:rsidRDefault="008E7835" w:rsidP="008E7835">
      <w:pPr>
        <w:widowControl w:val="0"/>
        <w:autoSpaceDE w:val="0"/>
        <w:autoSpaceDN w:val="0"/>
        <w:spacing w:before="106" w:after="0" w:line="240" w:lineRule="auto"/>
        <w:ind w:left="306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8E7835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>NORME COMUNI A TUTTE LE SEZIONI</w:t>
      </w:r>
    </w:p>
    <w:p w:rsidR="008E7835" w:rsidRPr="008E7835" w:rsidRDefault="008E7835" w:rsidP="008E78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it-IT" w:bidi="it-IT"/>
        </w:rPr>
      </w:pP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bookmarkStart w:id="0" w:name="_bookmark9"/>
      <w:bookmarkEnd w:id="0"/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1 Ambito di validità delle garanzie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17" w:right="422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Le garanzie sono operanti nei confronti di tutti i Tesserati per tutte le attività organizzate e/o autorizzate e/o controllate e/o promosse e/o riconosciute dal C.S.I., anche in caso di partecipazione a manifestazioni con altre organizzazioni alle quali il C.S.I. – CENTRO SPORTIVO ITALIANO abbia ufficialmente aderito o con le quali collabori.</w:t>
      </w:r>
    </w:p>
    <w:p w:rsidR="008E7835" w:rsidRPr="008E7835" w:rsidRDefault="008E7835" w:rsidP="008E7835">
      <w:pPr>
        <w:widowControl w:val="0"/>
        <w:autoSpaceDE w:val="0"/>
        <w:autoSpaceDN w:val="0"/>
        <w:spacing w:before="1" w:after="0" w:line="274" w:lineRule="exact"/>
        <w:ind w:left="8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bookmarkStart w:id="1" w:name="_bookmark10"/>
      <w:bookmarkEnd w:id="1"/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2 Dichiarazioni relative alle circostanze del rischio - Variazioni del rischio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22" w:right="431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Le dichiarazioni inesatte o le reticenze del Contraente relative a circostanze che influiscono sulla </w:t>
      </w:r>
      <w:r w:rsidRPr="008E7835">
        <w:rPr>
          <w:rFonts w:ascii="Times New Roman" w:eastAsia="Times New Roman" w:hAnsi="Times New Roman" w:cs="Times New Roman"/>
          <w:spacing w:val="1"/>
          <w:sz w:val="24"/>
          <w:szCs w:val="24"/>
          <w:lang w:eastAsia="it-IT" w:bidi="it-IT"/>
        </w:rPr>
        <w:t xml:space="preserve">valutazione 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del </w:t>
      </w:r>
      <w:r w:rsidRPr="008E7835">
        <w:rPr>
          <w:rFonts w:ascii="Times New Roman" w:eastAsia="Times New Roman" w:hAnsi="Times New Roman" w:cs="Times New Roman"/>
          <w:spacing w:val="1"/>
          <w:sz w:val="24"/>
          <w:szCs w:val="24"/>
          <w:lang w:eastAsia="it-IT" w:bidi="it-IT"/>
        </w:rPr>
        <w:t xml:space="preserve">rischio, </w:t>
      </w:r>
      <w:r w:rsidRPr="008E7835">
        <w:rPr>
          <w:rFonts w:ascii="Times New Roman" w:eastAsia="Times New Roman" w:hAnsi="Times New Roman" w:cs="Times New Roman"/>
          <w:spacing w:val="2"/>
          <w:sz w:val="24"/>
          <w:szCs w:val="24"/>
          <w:lang w:eastAsia="it-IT" w:bidi="it-IT"/>
        </w:rPr>
        <w:t xml:space="preserve">possono </w:t>
      </w:r>
      <w:r w:rsidRPr="008E7835">
        <w:rPr>
          <w:rFonts w:ascii="Times New Roman" w:eastAsia="Times New Roman" w:hAnsi="Times New Roman" w:cs="Times New Roman"/>
          <w:spacing w:val="1"/>
          <w:sz w:val="24"/>
          <w:szCs w:val="24"/>
          <w:lang w:eastAsia="it-IT" w:bidi="it-IT"/>
        </w:rPr>
        <w:t xml:space="preserve">comportare la perdita </w:t>
      </w:r>
      <w:r w:rsidRPr="008E7835">
        <w:rPr>
          <w:rFonts w:ascii="Times New Roman" w:eastAsia="Times New Roman" w:hAnsi="Times New Roman" w:cs="Times New Roman"/>
          <w:spacing w:val="2"/>
          <w:sz w:val="24"/>
          <w:szCs w:val="24"/>
          <w:lang w:eastAsia="it-IT" w:bidi="it-IT"/>
        </w:rPr>
        <w:t xml:space="preserve">totale 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o </w:t>
      </w:r>
      <w:r w:rsidRPr="008E7835">
        <w:rPr>
          <w:rFonts w:ascii="Times New Roman" w:eastAsia="Times New Roman" w:hAnsi="Times New Roman" w:cs="Times New Roman"/>
          <w:spacing w:val="1"/>
          <w:sz w:val="24"/>
          <w:szCs w:val="24"/>
          <w:lang w:eastAsia="it-IT" w:bidi="it-IT"/>
        </w:rPr>
        <w:t xml:space="preserve">parziale 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del </w:t>
      </w:r>
      <w:r w:rsidRPr="008E7835">
        <w:rPr>
          <w:rFonts w:ascii="Times New Roman" w:eastAsia="Times New Roman" w:hAnsi="Times New Roman" w:cs="Times New Roman"/>
          <w:spacing w:val="1"/>
          <w:sz w:val="24"/>
          <w:szCs w:val="24"/>
          <w:lang w:eastAsia="it-IT" w:bidi="it-IT"/>
        </w:rPr>
        <w:t xml:space="preserve">diritto all'indennizzo, nonché la stessa 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cessazione </w:t>
      </w:r>
      <w:r w:rsidRPr="008E7835">
        <w:rPr>
          <w:rFonts w:ascii="Times New Roman" w:eastAsia="Times New Roman" w:hAnsi="Times New Roman" w:cs="Times New Roman"/>
          <w:spacing w:val="1"/>
          <w:sz w:val="24"/>
          <w:szCs w:val="24"/>
          <w:lang w:eastAsia="it-IT" w:bidi="it-IT"/>
        </w:rPr>
        <w:t xml:space="preserve">dell'assicurazione 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(ex artt. c.c. 1892, 1893</w:t>
      </w:r>
      <w:r w:rsidRPr="008E7835">
        <w:rPr>
          <w:rFonts w:ascii="Times New Roman" w:eastAsia="Times New Roman" w:hAnsi="Times New Roman" w:cs="Times New Roman"/>
          <w:spacing w:val="53"/>
          <w:sz w:val="24"/>
          <w:szCs w:val="24"/>
          <w:lang w:eastAsia="it-IT" w:bidi="it-IT"/>
        </w:rPr>
        <w:t xml:space="preserve"> 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e </w:t>
      </w:r>
      <w:r w:rsidRPr="008E7835">
        <w:rPr>
          <w:rFonts w:ascii="Times New Roman" w:eastAsia="Times New Roman" w:hAnsi="Times New Roman" w:cs="Times New Roman"/>
          <w:spacing w:val="-5"/>
          <w:sz w:val="24"/>
          <w:szCs w:val="24"/>
          <w:lang w:eastAsia="it-IT" w:bidi="it-IT"/>
        </w:rPr>
        <w:t>1894).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22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L'omissione della dichiarazione da parte della Contraente e/o dell'Assicurato di una circostanza aggravante del rischio durante il corso della polizza medesima, non pregiudica il diritto al risarcimento dei danni, sempre che tali omissioni o inesatte dichiarazioni siano avvenute in buona fede.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26" w:right="427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Resta inteso che la Contraente avrà l'obbligo di corrispondere all'Assicuratore il maggior premio proporzionalmente al maggior rischio che ne deriva, con decorrenza dal momento in cui la circostanza aggravante si è</w:t>
      </w:r>
      <w:r w:rsidRPr="008E7835">
        <w:rPr>
          <w:rFonts w:ascii="Times New Roman" w:eastAsia="Times New Roman" w:hAnsi="Times New Roman" w:cs="Times New Roman"/>
          <w:spacing w:val="-11"/>
          <w:sz w:val="24"/>
          <w:szCs w:val="24"/>
          <w:lang w:eastAsia="it-IT" w:bidi="it-IT"/>
        </w:rPr>
        <w:t xml:space="preserve"> 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verificata.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bookmarkStart w:id="2" w:name="_bookmark11"/>
      <w:bookmarkEnd w:id="2"/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3 Pagamento del premio e decorrenza della garanzia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17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…omissis…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17" w:right="427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Per tutte le tessere, ad eccezione della Free Sport, </w:t>
      </w:r>
      <w:r w:rsidRPr="008E7835">
        <w:rPr>
          <w:rFonts w:ascii="Times New Roman" w:eastAsia="Times New Roman" w:hAnsi="Times New Roman" w:cs="Times New Roman"/>
          <w:spacing w:val="1"/>
          <w:sz w:val="24"/>
          <w:szCs w:val="24"/>
          <w:lang w:eastAsia="it-IT" w:bidi="it-IT"/>
        </w:rPr>
        <w:t xml:space="preserve">il 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rapporto assicurativo e la relativa copertura per ogni singolo Assicurato </w:t>
      </w:r>
      <w:r w:rsidRPr="008E7835">
        <w:rPr>
          <w:rFonts w:ascii="Times New Roman" w:eastAsia="Times New Roman" w:hAnsi="Times New Roman" w:cs="Times New Roman"/>
          <w:sz w:val="24"/>
          <w:szCs w:val="24"/>
          <w:u w:val="single"/>
          <w:lang w:eastAsia="it-IT" w:bidi="it-IT"/>
        </w:rPr>
        <w:t>sarà operante dalle ore 24:00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della data di tesseramento/associazione trascritta sulla tessera/certificato, </w:t>
      </w:r>
      <w:r w:rsidRPr="008E7835">
        <w:rPr>
          <w:rFonts w:ascii="Times New Roman" w:eastAsia="Times New Roman" w:hAnsi="Times New Roman" w:cs="Times New Roman"/>
          <w:sz w:val="24"/>
          <w:szCs w:val="24"/>
          <w:u w:val="single"/>
          <w:lang w:eastAsia="it-IT" w:bidi="it-IT"/>
        </w:rPr>
        <w:t>e scadrà alle ore 24.00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del quindicesimo giorno successivo alla scadenza del titolo anzidetto. Relativamente alla sola </w:t>
      </w:r>
      <w:r w:rsidRPr="008E7835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Free Sport </w:t>
      </w:r>
      <w:proofErr w:type="spellStart"/>
      <w:r w:rsidRPr="008E7835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Daily</w:t>
      </w:r>
      <w:proofErr w:type="spellEnd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il rapporto assicurativo e la relativa copertura per ogni singolo Assicurato sarà operante al momento del tesseramento e scadrà dopo 24 ore. Infine, la garanzia vale per la durata delle manifestazioni anche se terminano oltre la scadenza contrattuale, purché siano iniziate prima di detta</w:t>
      </w:r>
      <w:r w:rsidRPr="008E7835">
        <w:rPr>
          <w:rFonts w:ascii="Times New Roman" w:eastAsia="Times New Roman" w:hAnsi="Times New Roman" w:cs="Times New Roman"/>
          <w:spacing w:val="15"/>
          <w:sz w:val="24"/>
          <w:szCs w:val="24"/>
          <w:lang w:eastAsia="it-IT" w:bidi="it-IT"/>
        </w:rPr>
        <w:t xml:space="preserve"> 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scadenza.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17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…omissis…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3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bookmarkStart w:id="3" w:name="_bookmark12"/>
      <w:bookmarkEnd w:id="3"/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4. Frazionamento del Premio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17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…omissis…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3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bookmarkStart w:id="4" w:name="_bookmark13"/>
      <w:bookmarkEnd w:id="4"/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5. Modifiche dell'Assicurazione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26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Le eventuali modifiche dell'assicurazione devono essere provate per iscritto.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3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bookmarkStart w:id="5" w:name="_bookmark14"/>
      <w:bookmarkEnd w:id="5"/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6. Estensione territoriale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26" w:right="1932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u w:val="single"/>
          <w:lang w:eastAsia="it-IT" w:bidi="it-IT"/>
        </w:rPr>
        <w:t>L'assicurazione viene prestata in tutto il mondo, con l'esclusione di U.S.A. e Canada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. Il pagamento dell'indennizzo sarà effettuato in valuta italiana e comunque in Italia.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bookmarkStart w:id="6" w:name="_bookmark15"/>
      <w:bookmarkEnd w:id="6"/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7. Rinvio alle norme di legge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26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Per tutto quanto non è qui diversamente regolato, valgono le norme di legge vigenti.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bookmarkStart w:id="7" w:name="_bookmark16"/>
      <w:bookmarkEnd w:id="7"/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8. Altre assicurazioni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22" w:right="535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L'assicurato e/o la Contraente sono esonerati dall'obbligo di denunciare all'Assicuratore eventuali altre polizze da esso stipulate per il medesimo</w:t>
      </w:r>
      <w:r w:rsidRPr="008E7835">
        <w:rPr>
          <w:rFonts w:ascii="Times New Roman" w:eastAsia="Times New Roman" w:hAnsi="Times New Roman" w:cs="Times New Roman"/>
          <w:spacing w:val="-26"/>
          <w:sz w:val="24"/>
          <w:szCs w:val="24"/>
          <w:lang w:eastAsia="it-IT" w:bidi="it-IT"/>
        </w:rPr>
        <w:t xml:space="preserve"> 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rischio.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  <w:sectPr w:rsidR="008E7835" w:rsidRPr="008E7835">
          <w:pgSz w:w="11910" w:h="16840"/>
          <w:pgMar w:top="1580" w:right="420" w:bottom="1740" w:left="460" w:header="0" w:footer="1480" w:gutter="0"/>
          <w:cols w:space="720"/>
        </w:sectPr>
      </w:pPr>
    </w:p>
    <w:p w:rsidR="008E7835" w:rsidRPr="008E7835" w:rsidRDefault="008E7835" w:rsidP="008E783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  <w:lang w:eastAsia="it-IT" w:bidi="it-IT"/>
        </w:rPr>
      </w:pPr>
    </w:p>
    <w:p w:rsidR="008E7835" w:rsidRPr="008E7835" w:rsidRDefault="008E7835" w:rsidP="008E7835">
      <w:pPr>
        <w:widowControl w:val="0"/>
        <w:autoSpaceDE w:val="0"/>
        <w:autoSpaceDN w:val="0"/>
        <w:spacing w:before="90" w:after="0" w:line="274" w:lineRule="exact"/>
        <w:ind w:left="8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bookmarkStart w:id="8" w:name="_bookmark17"/>
      <w:bookmarkEnd w:id="8"/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9 Interpretazione del Contratto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17" w:right="426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In caso di eventuali dubbi di interpretazione sui contenuti delle clausole contrattuali, le stesse saranno interpretate in senso favorevole all'Assicurato.</w:t>
      </w:r>
    </w:p>
    <w:p w:rsidR="008E7835" w:rsidRPr="008E7835" w:rsidRDefault="008E7835" w:rsidP="008E783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bookmarkStart w:id="9" w:name="_bookmark18"/>
      <w:bookmarkEnd w:id="9"/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10 Modalità operative di denuncia del sinistro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17" w:right="423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La denuncia del sinistro dell’Assicurato dovrà essere inviata alla società </w:t>
      </w:r>
      <w:proofErr w:type="spellStart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Marsh</w:t>
      </w:r>
      <w:proofErr w:type="spellEnd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Risk</w:t>
      </w:r>
      <w:proofErr w:type="spellEnd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Consulting</w:t>
      </w:r>
      <w:proofErr w:type="spellEnd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, incaricata dalla Contraente della gestione dei sinistri, riconosciuta dalla Società e dal Broker.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17" w:right="421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La denuncia verrà fatta pervenire mediante le modalità messe a disposizione, </w:t>
      </w:r>
      <w:r w:rsidRPr="008E7835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entro 45 giorni</w:t>
      </w:r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dall’evento o dal momento in cui l’Assicurato o gli aventi diritto ne abbiano avuto la possibilità, in deroga a quanto stabilito dagli Art. 1913 e 1915 del Codice Civile.</w:t>
      </w:r>
    </w:p>
    <w:p w:rsidR="008E7835" w:rsidRPr="008E7835" w:rsidRDefault="008E7835" w:rsidP="008E7835">
      <w:pPr>
        <w:widowControl w:val="0"/>
        <w:autoSpaceDE w:val="0"/>
        <w:autoSpaceDN w:val="0"/>
        <w:spacing w:after="0" w:line="240" w:lineRule="auto"/>
        <w:ind w:left="817" w:right="429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proofErr w:type="spellStart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Marsh</w:t>
      </w:r>
      <w:proofErr w:type="spellEnd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Risk</w:t>
      </w:r>
      <w:proofErr w:type="spellEnd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Consulting</w:t>
      </w:r>
      <w:proofErr w:type="spellEnd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, per il tramite del broker </w:t>
      </w:r>
      <w:proofErr w:type="spellStart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Marsh</w:t>
      </w:r>
      <w:proofErr w:type="spellEnd"/>
      <w:r w:rsidRPr="008E783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, fornirà alla Contraente le informazioni che di volta in volta si renderanno necessarie per la verifica delle singole pratiche di sinistro o per l’analisi dell’andamento tecnico della presente Convenzione.</w:t>
      </w:r>
    </w:p>
    <w:p w:rsidR="008E7835" w:rsidRPr="008E7835" w:rsidRDefault="008E7835" w:rsidP="008E783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8E7835" w:rsidRPr="008E7835" w:rsidRDefault="008E7835" w:rsidP="008E7835">
      <w:pPr>
        <w:widowControl w:val="0"/>
        <w:autoSpaceDE w:val="0"/>
        <w:autoSpaceDN w:val="0"/>
        <w:spacing w:after="0" w:line="274" w:lineRule="exact"/>
        <w:ind w:left="8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8E783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Art. 11 Foro competente</w:t>
      </w:r>
    </w:p>
    <w:p w:rsidR="00B91DE5" w:rsidRPr="008E7835" w:rsidRDefault="008E7835" w:rsidP="008E7835">
      <w:pPr>
        <w:widowControl w:val="0"/>
        <w:autoSpaceDE w:val="0"/>
        <w:autoSpaceDN w:val="0"/>
        <w:spacing w:after="0" w:line="240" w:lineRule="auto"/>
        <w:ind w:left="822" w:right="425"/>
        <w:jc w:val="both"/>
      </w:pPr>
      <w:r w:rsidRPr="008E7835">
        <w:rPr>
          <w:rFonts w:ascii="Times New Roman" w:eastAsia="Times New Roman" w:hAnsi="Times New Roman" w:cs="Times New Roman"/>
          <w:lang w:eastAsia="it-IT" w:bidi="it-IT"/>
        </w:rPr>
        <w:t>Per ogni controversia inerente questo contratto sarà competente sarà quello di residenza e/o domicilio dell'Assicurato o del Contraente</w:t>
      </w:r>
      <w:bookmarkStart w:id="10" w:name="_GoBack"/>
      <w:bookmarkEnd w:id="10"/>
    </w:p>
    <w:sectPr w:rsidR="00B91DE5" w:rsidRPr="008E7835" w:rsidSect="008E7835">
      <w:pgSz w:w="11910" w:h="16840"/>
      <w:pgMar w:top="1135" w:right="420" w:bottom="1740" w:left="460" w:header="0" w:footer="14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A66F6"/>
    <w:multiLevelType w:val="hybridMultilevel"/>
    <w:tmpl w:val="6010A5E2"/>
    <w:lvl w:ilvl="0" w:tplc="49861524">
      <w:numFmt w:val="bullet"/>
      <w:lvlText w:val=""/>
      <w:lvlJc w:val="left"/>
      <w:pPr>
        <w:ind w:left="1177" w:hanging="360"/>
      </w:pPr>
      <w:rPr>
        <w:rFonts w:hint="default"/>
        <w:w w:val="100"/>
        <w:lang w:val="it-IT" w:eastAsia="it-IT" w:bidi="it-IT"/>
      </w:rPr>
    </w:lvl>
    <w:lvl w:ilvl="1" w:tplc="4D54E956">
      <w:numFmt w:val="bullet"/>
      <w:lvlText w:val=""/>
      <w:lvlJc w:val="left"/>
      <w:pPr>
        <w:ind w:left="15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B0668F0">
      <w:numFmt w:val="bullet"/>
      <w:lvlText w:val="•"/>
      <w:lvlJc w:val="left"/>
      <w:pPr>
        <w:ind w:left="2594" w:hanging="360"/>
      </w:pPr>
      <w:rPr>
        <w:rFonts w:hint="default"/>
        <w:lang w:val="it-IT" w:eastAsia="it-IT" w:bidi="it-IT"/>
      </w:rPr>
    </w:lvl>
    <w:lvl w:ilvl="3" w:tplc="2CB0DCB0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F7147DE2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5" w:tplc="B07C1D5E">
      <w:numFmt w:val="bullet"/>
      <w:lvlText w:val="•"/>
      <w:lvlJc w:val="left"/>
      <w:pPr>
        <w:ind w:left="5757" w:hanging="360"/>
      </w:pPr>
      <w:rPr>
        <w:rFonts w:hint="default"/>
        <w:lang w:val="it-IT" w:eastAsia="it-IT" w:bidi="it-IT"/>
      </w:rPr>
    </w:lvl>
    <w:lvl w:ilvl="6" w:tplc="1FAC5A7A">
      <w:numFmt w:val="bullet"/>
      <w:lvlText w:val="•"/>
      <w:lvlJc w:val="left"/>
      <w:pPr>
        <w:ind w:left="6811" w:hanging="360"/>
      </w:pPr>
      <w:rPr>
        <w:rFonts w:hint="default"/>
        <w:lang w:val="it-IT" w:eastAsia="it-IT" w:bidi="it-IT"/>
      </w:rPr>
    </w:lvl>
    <w:lvl w:ilvl="7" w:tplc="7780C6F4">
      <w:numFmt w:val="bullet"/>
      <w:lvlText w:val="•"/>
      <w:lvlJc w:val="left"/>
      <w:pPr>
        <w:ind w:left="7865" w:hanging="360"/>
      </w:pPr>
      <w:rPr>
        <w:rFonts w:hint="default"/>
        <w:lang w:val="it-IT" w:eastAsia="it-IT" w:bidi="it-IT"/>
      </w:rPr>
    </w:lvl>
    <w:lvl w:ilvl="8" w:tplc="0AD4E6FA">
      <w:numFmt w:val="bullet"/>
      <w:lvlText w:val="•"/>
      <w:lvlJc w:val="left"/>
      <w:pPr>
        <w:ind w:left="8920" w:hanging="360"/>
      </w:pPr>
      <w:rPr>
        <w:rFonts w:hint="default"/>
        <w:lang w:val="it-IT" w:eastAsia="it-IT" w:bidi="it-IT"/>
      </w:rPr>
    </w:lvl>
  </w:abstractNum>
  <w:abstractNum w:abstractNumId="1">
    <w:nsid w:val="78802232"/>
    <w:multiLevelType w:val="hybridMultilevel"/>
    <w:tmpl w:val="080E6600"/>
    <w:lvl w:ilvl="0" w:tplc="741E120E">
      <w:numFmt w:val="bullet"/>
      <w:lvlText w:val="-"/>
      <w:lvlJc w:val="left"/>
      <w:pPr>
        <w:ind w:left="1537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1B54B31A">
      <w:numFmt w:val="bullet"/>
      <w:lvlText w:val="•"/>
      <w:lvlJc w:val="left"/>
      <w:pPr>
        <w:ind w:left="2488" w:hanging="360"/>
      </w:pPr>
      <w:rPr>
        <w:rFonts w:hint="default"/>
        <w:lang w:val="it-IT" w:eastAsia="it-IT" w:bidi="it-IT"/>
      </w:rPr>
    </w:lvl>
    <w:lvl w:ilvl="2" w:tplc="73B8F532">
      <w:numFmt w:val="bullet"/>
      <w:lvlText w:val="•"/>
      <w:lvlJc w:val="left"/>
      <w:pPr>
        <w:ind w:left="3437" w:hanging="360"/>
      </w:pPr>
      <w:rPr>
        <w:rFonts w:hint="default"/>
        <w:lang w:val="it-IT" w:eastAsia="it-IT" w:bidi="it-IT"/>
      </w:rPr>
    </w:lvl>
    <w:lvl w:ilvl="3" w:tplc="14B0E8C2">
      <w:numFmt w:val="bullet"/>
      <w:lvlText w:val="•"/>
      <w:lvlJc w:val="left"/>
      <w:pPr>
        <w:ind w:left="4386" w:hanging="360"/>
      </w:pPr>
      <w:rPr>
        <w:rFonts w:hint="default"/>
        <w:lang w:val="it-IT" w:eastAsia="it-IT" w:bidi="it-IT"/>
      </w:rPr>
    </w:lvl>
    <w:lvl w:ilvl="4" w:tplc="14EE2D08">
      <w:numFmt w:val="bullet"/>
      <w:lvlText w:val="•"/>
      <w:lvlJc w:val="left"/>
      <w:pPr>
        <w:ind w:left="5335" w:hanging="360"/>
      </w:pPr>
      <w:rPr>
        <w:rFonts w:hint="default"/>
        <w:lang w:val="it-IT" w:eastAsia="it-IT" w:bidi="it-IT"/>
      </w:rPr>
    </w:lvl>
    <w:lvl w:ilvl="5" w:tplc="D22A2CD2">
      <w:numFmt w:val="bullet"/>
      <w:lvlText w:val="•"/>
      <w:lvlJc w:val="left"/>
      <w:pPr>
        <w:ind w:left="6284" w:hanging="360"/>
      </w:pPr>
      <w:rPr>
        <w:rFonts w:hint="default"/>
        <w:lang w:val="it-IT" w:eastAsia="it-IT" w:bidi="it-IT"/>
      </w:rPr>
    </w:lvl>
    <w:lvl w:ilvl="6" w:tplc="DF183C1E">
      <w:numFmt w:val="bullet"/>
      <w:lvlText w:val="•"/>
      <w:lvlJc w:val="left"/>
      <w:pPr>
        <w:ind w:left="7233" w:hanging="360"/>
      </w:pPr>
      <w:rPr>
        <w:rFonts w:hint="default"/>
        <w:lang w:val="it-IT" w:eastAsia="it-IT" w:bidi="it-IT"/>
      </w:rPr>
    </w:lvl>
    <w:lvl w:ilvl="7" w:tplc="D02E1942">
      <w:numFmt w:val="bullet"/>
      <w:lvlText w:val="•"/>
      <w:lvlJc w:val="left"/>
      <w:pPr>
        <w:ind w:left="8182" w:hanging="360"/>
      </w:pPr>
      <w:rPr>
        <w:rFonts w:hint="default"/>
        <w:lang w:val="it-IT" w:eastAsia="it-IT" w:bidi="it-IT"/>
      </w:rPr>
    </w:lvl>
    <w:lvl w:ilvl="8" w:tplc="3BCC61DC">
      <w:numFmt w:val="bullet"/>
      <w:lvlText w:val="•"/>
      <w:lvlJc w:val="left"/>
      <w:pPr>
        <w:ind w:left="913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35"/>
    <w:rsid w:val="00006024"/>
    <w:rsid w:val="008E7835"/>
    <w:rsid w:val="00B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2018-07-02T13:41:00Z</dcterms:created>
  <dcterms:modified xsi:type="dcterms:W3CDTF">2018-07-02T13:47:00Z</dcterms:modified>
</cp:coreProperties>
</file>